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  <w:t>附表五：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 w:bidi="ar-SA"/>
        </w:rPr>
        <w:t>综合事务工作专项预算绩效目标</w:t>
      </w:r>
    </w:p>
    <w:tbl>
      <w:tblPr>
        <w:tblStyle w:val="10"/>
        <w:tblpPr w:leftFromText="180" w:rightFromText="180" w:vertAnchor="text" w:horzAnchor="page" w:tblpX="1043" w:tblpY="297"/>
        <w:tblOverlap w:val="never"/>
        <w:tblW w:w="995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70"/>
        <w:gridCol w:w="521"/>
        <w:gridCol w:w="119"/>
        <w:gridCol w:w="990"/>
        <w:gridCol w:w="2366"/>
        <w:gridCol w:w="1275"/>
        <w:gridCol w:w="326"/>
        <w:gridCol w:w="484"/>
        <w:gridCol w:w="54"/>
        <w:gridCol w:w="886"/>
        <w:gridCol w:w="1110"/>
        <w:gridCol w:w="840"/>
      </w:tblGrid>
      <w:tr>
        <w:trPr>
          <w:trHeight w:val="90" w:hRule="atLeast"/>
        </w:trPr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4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综合事务工作经费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8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020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18"/>
                <w:szCs w:val="18"/>
              </w:rPr>
              <w:t>04</w:t>
            </w:r>
          </w:p>
        </w:tc>
      </w:tr>
      <w:tr>
        <w:trPr>
          <w:trHeight w:val="125" w:hRule="atLeast"/>
        </w:trPr>
        <w:tc>
          <w:tcPr>
            <w:tcW w:w="15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项目主管部门</w:t>
            </w:r>
          </w:p>
        </w:tc>
        <w:tc>
          <w:tcPr>
            <w:tcW w:w="34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项目执行单位</w:t>
            </w:r>
          </w:p>
        </w:tc>
        <w:tc>
          <w:tcPr>
            <w:tcW w:w="28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湖北省科学技术厅机关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52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项目绩效总目标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目标说明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长期目标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加强科技系统自身建设，提升科技管理和服务能力。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年度目标01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保障机关日常运转，做好信息化、安全保密、信访、科技宣传、后勤保障服务、老干部服务管理、支持精准扶贫等工作。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年度目标02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加强省级财政科技计划的规划布局和绩效评价工作。合理配置科技资源，提升部门预算和财务管理水平；推进科技“三评”制度改革，推动科技“三评”评价平台体系建设，构建符合我省实际的科技“三评”体系，发挥评价指挥棒和风向标作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年度目标03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积极开展科技交流与合作。加强国际科技合作和对港澳台交流，扩大开放合作，服务国家“一带一路”倡议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实施；强化湖北省农业科技园区管理，促进我省农业科技交流与合作，加速科技成果转化，展示湖北农业大省形象；加强东湖国家自主创新示范区联络，提升东湖国家自主创新示范区国际影响。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年度目标04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组建省基金委专家委员会，做好省重点实验室评估等基础研究管理服务工作，为相关管理部门决策提供依据；有效提高我省高新技术企业认定工作管理水平，为做大做强高新技术产业做好培育服务。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年度目标05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加强科学技术普及工作，提高公民的科学文化素质，促进科教兴鄂，推动经济发展和社会进步。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年度目标06</w:t>
            </w:r>
          </w:p>
        </w:tc>
        <w:tc>
          <w:tcPr>
            <w:tcW w:w="8971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做好全省科技人才队伍建设管理服务工作，不断促进我省科技人才队伍结构更趋合理，为建设创省份做更大贡献。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52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长期绩效目标表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目标名称</w:t>
            </w:r>
          </w:p>
        </w:tc>
        <w:tc>
          <w:tcPr>
            <w:tcW w:w="81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一级指标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二级指标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指标值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绩效标准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长期目标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机关日常工作正常运转率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科技管理和服务到位率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后勤服务保障率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整体科技宏观管理能力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整体科技创新服务能力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优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省直目标责任考评成绩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机关服务能力提升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可持续影响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公民具备基本科学素质比例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8%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396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25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9952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Arial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sz w:val="18"/>
                <w:szCs w:val="18"/>
                <w:lang w:val="en-US" w:eastAsia="zh-CN"/>
              </w:rPr>
              <w:t>年度绩效目标表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目标名称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一级指标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二级指标</w:t>
            </w:r>
          </w:p>
        </w:tc>
        <w:tc>
          <w:tcPr>
            <w:tcW w:w="364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指标名称</w:t>
            </w:r>
          </w:p>
        </w:tc>
        <w:tc>
          <w:tcPr>
            <w:tcW w:w="286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指标值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绩效标准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前年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上年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预计当年实现</w:t>
            </w: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年度目标01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信息化系统正常运转率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保密系统建设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科技杂志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6期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6期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6期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科技宣传片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5次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后勤服务保障率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机关服务能力提升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提高湖北科技工作显示度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年度目标02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评价项目金额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3000万元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3000万元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3000万元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“三评”工作评价报告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新增项目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新增项目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完成科技项目验收和监督平台升级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新增项目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新增项目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科技发展专项项目管理有效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推进全省“三评”改革工作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新增项目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新增项目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年度目标03</w:t>
            </w:r>
          </w:p>
        </w:tc>
        <w:tc>
          <w:tcPr>
            <w:tcW w:w="8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科技交流与合作人次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21人次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21人次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20人次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组织参展的企业家数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10家以上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10家以上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10家以上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可持续影响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加强科技交流合作对湖北科技发展的持续影响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年度目标04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省基金委日常工作保障率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为高新技术企业提供培育服务次数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可持续影响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评估结果为相关管理部门决策提供依据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年度目标05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重大科普活动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35项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38项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10项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免费开放科普场馆、设施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26个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36个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40个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公民具备基本科学素质比例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6%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8%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8%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年度目标06</w:t>
            </w: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产出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省自然科学研究系列高中级水平能力测试评审管理系统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工作许可证办件量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2000件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2700件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2500件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质量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高、中级职称评审通过率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1"/>
                <w:szCs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1"/>
                <w:szCs w:val="11"/>
                <w:lang w:val="en-US" w:eastAsia="zh-CN"/>
              </w:rPr>
              <w:t>高级不超过80%、中级不超过90%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11"/>
                <w:szCs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1"/>
                <w:szCs w:val="11"/>
                <w:lang w:val="en-US" w:eastAsia="zh-CN"/>
              </w:rPr>
              <w:t>高级不超过80%、中级不超过90%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外专工作许可证办证误差率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历史数据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效益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高、中级职称评审工作质量不断提升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明显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36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4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</w:rPr>
              <w:t>计划数据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0583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B79DB"/>
    <w:rsid w:val="000228CE"/>
    <w:rsid w:val="0003631F"/>
    <w:rsid w:val="000433B1"/>
    <w:rsid w:val="000477BE"/>
    <w:rsid w:val="00064E98"/>
    <w:rsid w:val="00067877"/>
    <w:rsid w:val="0008332A"/>
    <w:rsid w:val="000841F4"/>
    <w:rsid w:val="00087732"/>
    <w:rsid w:val="00095F67"/>
    <w:rsid w:val="000C3FBB"/>
    <w:rsid w:val="000D35A8"/>
    <w:rsid w:val="0011474B"/>
    <w:rsid w:val="0013153F"/>
    <w:rsid w:val="00152BA6"/>
    <w:rsid w:val="001531AF"/>
    <w:rsid w:val="00175907"/>
    <w:rsid w:val="001A54ED"/>
    <w:rsid w:val="001B319E"/>
    <w:rsid w:val="001C1564"/>
    <w:rsid w:val="001E0F2C"/>
    <w:rsid w:val="001E25AE"/>
    <w:rsid w:val="001F4040"/>
    <w:rsid w:val="00203175"/>
    <w:rsid w:val="00225254"/>
    <w:rsid w:val="00252181"/>
    <w:rsid w:val="00254006"/>
    <w:rsid w:val="00257269"/>
    <w:rsid w:val="00274541"/>
    <w:rsid w:val="002758AA"/>
    <w:rsid w:val="00283E89"/>
    <w:rsid w:val="002878F6"/>
    <w:rsid w:val="00294170"/>
    <w:rsid w:val="002B27FE"/>
    <w:rsid w:val="003766C9"/>
    <w:rsid w:val="00377BEF"/>
    <w:rsid w:val="00382EBF"/>
    <w:rsid w:val="00420675"/>
    <w:rsid w:val="004721C8"/>
    <w:rsid w:val="00487D68"/>
    <w:rsid w:val="004F3886"/>
    <w:rsid w:val="00531FD5"/>
    <w:rsid w:val="00570C23"/>
    <w:rsid w:val="005746F5"/>
    <w:rsid w:val="00582AAE"/>
    <w:rsid w:val="005A4D0C"/>
    <w:rsid w:val="005C6816"/>
    <w:rsid w:val="00630B2D"/>
    <w:rsid w:val="006A0700"/>
    <w:rsid w:val="006B5282"/>
    <w:rsid w:val="007668FF"/>
    <w:rsid w:val="00774BA3"/>
    <w:rsid w:val="00786A79"/>
    <w:rsid w:val="00792D4B"/>
    <w:rsid w:val="007A1A8E"/>
    <w:rsid w:val="007D2CC2"/>
    <w:rsid w:val="007D51FF"/>
    <w:rsid w:val="00842634"/>
    <w:rsid w:val="00884EB2"/>
    <w:rsid w:val="0089017A"/>
    <w:rsid w:val="008A6C2F"/>
    <w:rsid w:val="008D43BE"/>
    <w:rsid w:val="009326FD"/>
    <w:rsid w:val="009C107B"/>
    <w:rsid w:val="009D69CA"/>
    <w:rsid w:val="009D7A36"/>
    <w:rsid w:val="00A01ED5"/>
    <w:rsid w:val="00A31793"/>
    <w:rsid w:val="00A42950"/>
    <w:rsid w:val="00A47C73"/>
    <w:rsid w:val="00A95717"/>
    <w:rsid w:val="00B5038E"/>
    <w:rsid w:val="00B54F7D"/>
    <w:rsid w:val="00BB1CB8"/>
    <w:rsid w:val="00BC06EC"/>
    <w:rsid w:val="00BD3FA1"/>
    <w:rsid w:val="00C70F77"/>
    <w:rsid w:val="00C72978"/>
    <w:rsid w:val="00C81877"/>
    <w:rsid w:val="00CF3D47"/>
    <w:rsid w:val="00D71750"/>
    <w:rsid w:val="00DE61BA"/>
    <w:rsid w:val="00DF3F1B"/>
    <w:rsid w:val="00E83EE5"/>
    <w:rsid w:val="00E926C0"/>
    <w:rsid w:val="00E94856"/>
    <w:rsid w:val="00EA465A"/>
    <w:rsid w:val="00EC2A10"/>
    <w:rsid w:val="00EC506F"/>
    <w:rsid w:val="00F378F3"/>
    <w:rsid w:val="00F55D50"/>
    <w:rsid w:val="00F861D0"/>
    <w:rsid w:val="00FD5C9D"/>
    <w:rsid w:val="00FF1058"/>
    <w:rsid w:val="012975E5"/>
    <w:rsid w:val="01C5074B"/>
    <w:rsid w:val="02321186"/>
    <w:rsid w:val="02392915"/>
    <w:rsid w:val="032E254D"/>
    <w:rsid w:val="04EA3AAF"/>
    <w:rsid w:val="05A30788"/>
    <w:rsid w:val="064A6D32"/>
    <w:rsid w:val="07F479C2"/>
    <w:rsid w:val="07FA1AEA"/>
    <w:rsid w:val="09721B41"/>
    <w:rsid w:val="09C60335"/>
    <w:rsid w:val="0B0F6F44"/>
    <w:rsid w:val="0B7C62C2"/>
    <w:rsid w:val="0BE916C1"/>
    <w:rsid w:val="0BF645F5"/>
    <w:rsid w:val="0C6B3C98"/>
    <w:rsid w:val="0DF722B1"/>
    <w:rsid w:val="0ECF1E30"/>
    <w:rsid w:val="0F8B5EAB"/>
    <w:rsid w:val="0FC84D2E"/>
    <w:rsid w:val="116E06F0"/>
    <w:rsid w:val="11F70462"/>
    <w:rsid w:val="127F6742"/>
    <w:rsid w:val="12D27129"/>
    <w:rsid w:val="150453FE"/>
    <w:rsid w:val="15F27850"/>
    <w:rsid w:val="17F753DD"/>
    <w:rsid w:val="18216C48"/>
    <w:rsid w:val="18E3454D"/>
    <w:rsid w:val="19A470B7"/>
    <w:rsid w:val="1A255ACD"/>
    <w:rsid w:val="1BF776E4"/>
    <w:rsid w:val="1C8E5D3B"/>
    <w:rsid w:val="1CD17619"/>
    <w:rsid w:val="201F0BE7"/>
    <w:rsid w:val="2473559D"/>
    <w:rsid w:val="256E49EC"/>
    <w:rsid w:val="26A1639E"/>
    <w:rsid w:val="282D36D7"/>
    <w:rsid w:val="2A6B5A95"/>
    <w:rsid w:val="2AA80F65"/>
    <w:rsid w:val="2B3D406B"/>
    <w:rsid w:val="2BC903DF"/>
    <w:rsid w:val="2C5D3F81"/>
    <w:rsid w:val="2C710A3A"/>
    <w:rsid w:val="2E290968"/>
    <w:rsid w:val="32DF2192"/>
    <w:rsid w:val="34F524E1"/>
    <w:rsid w:val="3556552F"/>
    <w:rsid w:val="38FC0C0D"/>
    <w:rsid w:val="3A9D0A39"/>
    <w:rsid w:val="3BC8017B"/>
    <w:rsid w:val="3BEE22EA"/>
    <w:rsid w:val="3D9D2DF8"/>
    <w:rsid w:val="3DCB2B35"/>
    <w:rsid w:val="3E4656E0"/>
    <w:rsid w:val="3FC3D986"/>
    <w:rsid w:val="41FA2504"/>
    <w:rsid w:val="42531D32"/>
    <w:rsid w:val="42D5745E"/>
    <w:rsid w:val="42F05008"/>
    <w:rsid w:val="446F757A"/>
    <w:rsid w:val="47641325"/>
    <w:rsid w:val="47D20A2D"/>
    <w:rsid w:val="4AAC60FB"/>
    <w:rsid w:val="4AE8633B"/>
    <w:rsid w:val="4B2F724E"/>
    <w:rsid w:val="4C115ADD"/>
    <w:rsid w:val="4C733700"/>
    <w:rsid w:val="4D5C4AEA"/>
    <w:rsid w:val="4E157582"/>
    <w:rsid w:val="4E7D20E4"/>
    <w:rsid w:val="4EBB3EE1"/>
    <w:rsid w:val="4EDB13DC"/>
    <w:rsid w:val="4FA6611B"/>
    <w:rsid w:val="51E5194D"/>
    <w:rsid w:val="52F10635"/>
    <w:rsid w:val="53780E01"/>
    <w:rsid w:val="53CF0960"/>
    <w:rsid w:val="545E1B2D"/>
    <w:rsid w:val="55557389"/>
    <w:rsid w:val="55EB46C0"/>
    <w:rsid w:val="56C61031"/>
    <w:rsid w:val="57D87EEA"/>
    <w:rsid w:val="57DB79DB"/>
    <w:rsid w:val="57E85E0C"/>
    <w:rsid w:val="57F4072D"/>
    <w:rsid w:val="5A541B3F"/>
    <w:rsid w:val="5A703154"/>
    <w:rsid w:val="5A942492"/>
    <w:rsid w:val="5B09022C"/>
    <w:rsid w:val="5C7041B7"/>
    <w:rsid w:val="5D210A70"/>
    <w:rsid w:val="5D657866"/>
    <w:rsid w:val="5EB55444"/>
    <w:rsid w:val="5F854C62"/>
    <w:rsid w:val="62DD4042"/>
    <w:rsid w:val="63811FDD"/>
    <w:rsid w:val="64005E30"/>
    <w:rsid w:val="64B830F0"/>
    <w:rsid w:val="659036C7"/>
    <w:rsid w:val="668A3D12"/>
    <w:rsid w:val="687E2F51"/>
    <w:rsid w:val="69090E0F"/>
    <w:rsid w:val="6B4473DA"/>
    <w:rsid w:val="6B505AC4"/>
    <w:rsid w:val="6CB60BCC"/>
    <w:rsid w:val="6CE85882"/>
    <w:rsid w:val="6DB8207E"/>
    <w:rsid w:val="6FA05D13"/>
    <w:rsid w:val="6FA82856"/>
    <w:rsid w:val="7049789F"/>
    <w:rsid w:val="71603169"/>
    <w:rsid w:val="72BE13C8"/>
    <w:rsid w:val="73387932"/>
    <w:rsid w:val="73770F9F"/>
    <w:rsid w:val="73B448AE"/>
    <w:rsid w:val="776808BE"/>
    <w:rsid w:val="79415989"/>
    <w:rsid w:val="79567094"/>
    <w:rsid w:val="7BF33FB4"/>
    <w:rsid w:val="7CA645F9"/>
    <w:rsid w:val="7CBC0E67"/>
    <w:rsid w:val="7CDB5C44"/>
    <w:rsid w:val="7D934AB6"/>
    <w:rsid w:val="7DEF6CD5"/>
    <w:rsid w:val="7F15418A"/>
    <w:rsid w:val="7F7A1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24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style01"/>
    <w:basedOn w:val="11"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7">
    <w:name w:val="fontstyle11"/>
    <w:basedOn w:val="11"/>
    <w:qFormat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18">
    <w:name w:val="fontstyle2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9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1"/>
    <w:basedOn w:val="11"/>
    <w:qFormat/>
    <w:uiPriority w:val="0"/>
  </w:style>
  <w:style w:type="character" w:customStyle="1" w:styleId="23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Char"/>
    <w:basedOn w:val="23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fontstyle31"/>
    <w:basedOn w:val="1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6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1</Pages>
  <Words>3670</Words>
  <Characters>20925</Characters>
  <Lines>174</Lines>
  <Paragraphs>49</Paragraphs>
  <TotalTime>2</TotalTime>
  <ScaleCrop>false</ScaleCrop>
  <LinksUpToDate>false</LinksUpToDate>
  <CharactersWithSpaces>24546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2020-02-03T09:06:00Z</dcterms:created>
  <dc:creator>hugh</dc:creator>
  <cp:lastModifiedBy>fish</cp:lastModifiedBy>
  <cp:lastPrinted>2020-02-19T07:41:00Z</cp:lastPrinted>
  <dcterms:modified xsi:type="dcterms:W3CDTF">2023-08-20T16:05:42Z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0F00BC363B5EE74956C9E16419F25805_42</vt:lpwstr>
  </property>
</Properties>
</file>