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600" w:lineRule="exact"/>
        <w:jc w:val="left"/>
        <w:rPr>
          <w:rFonts w:hint="default" w:ascii="黑体" w:hAnsi="黑体" w:eastAsia="黑体" w:cs="方正小标宋简体"/>
          <w:color w:val="auto"/>
          <w:szCs w:val="32"/>
          <w:u w:val="none"/>
          <w:lang w:val="en-US" w:eastAsia="zh-CN"/>
        </w:rPr>
      </w:pPr>
      <w:r>
        <w:rPr>
          <w:rFonts w:hint="eastAsia" w:ascii="黑体" w:hAnsi="黑体" w:eastAsia="黑体"/>
          <w:color w:val="auto"/>
          <w:szCs w:val="32"/>
          <w:u w:val="none"/>
        </w:rPr>
        <w:t>附件</w:t>
      </w:r>
      <w:r>
        <w:rPr>
          <w:rFonts w:hint="eastAsia" w:ascii="黑体" w:hAnsi="黑体" w:eastAsia="黑体"/>
          <w:color w:val="auto"/>
          <w:szCs w:val="32"/>
          <w:u w:val="none"/>
          <w:lang w:val="en-US" w:eastAsia="zh-CN"/>
        </w:rPr>
        <w:t>10</w:t>
      </w:r>
    </w:p>
    <w:p>
      <w:pPr>
        <w:suppressAutoHyphens/>
        <w:spacing w:line="600" w:lineRule="exact"/>
        <w:jc w:val="center"/>
        <w:rPr>
          <w:rFonts w:hint="eastAsia" w:ascii="仿宋_GB2312" w:hAnsi="方正小标宋简体" w:cs="方正小标宋简体"/>
          <w:color w:val="auto"/>
          <w:szCs w:val="32"/>
          <w:u w:val="none"/>
        </w:rPr>
      </w:pPr>
    </w:p>
    <w:p>
      <w:pPr>
        <w:suppressAutoHyphens/>
        <w:spacing w:line="600" w:lineRule="exact"/>
        <w:jc w:val="center"/>
        <w:rPr>
          <w:rFonts w:ascii="方正小标宋_GBK" w:hAnsi="方正小标宋简体" w:eastAsia="方正小标宋_GBK" w:cs="方正小标宋简体"/>
          <w:color w:val="auto"/>
          <w:sz w:val="44"/>
          <w:szCs w:val="44"/>
          <w:u w:val="none"/>
        </w:rPr>
      </w:pPr>
      <w:r>
        <w:rPr>
          <w:rFonts w:hint="eastAsia" w:ascii="方正小标宋_GBK" w:hAnsi="方正小标宋简体" w:eastAsia="方正小标宋_GBK" w:cs="方正小标宋简体"/>
          <w:color w:val="auto"/>
          <w:sz w:val="44"/>
          <w:szCs w:val="44"/>
          <w:u w:val="none"/>
        </w:rPr>
        <w:t>中医药创新发展联合基金项目</w:t>
      </w:r>
      <w:r>
        <w:rPr>
          <w:rFonts w:hint="eastAsia" w:ascii="方正小标宋_GBK" w:hAnsi="方正小标宋简体" w:eastAsia="方正小标宋_GBK" w:cs="方正小标宋简体"/>
          <w:color w:val="auto"/>
          <w:sz w:val="44"/>
          <w:szCs w:val="44"/>
          <w:u w:val="none"/>
          <w:lang w:eastAsia="zh-CN"/>
        </w:rPr>
        <w:t>申报</w:t>
      </w:r>
      <w:r>
        <w:rPr>
          <w:rFonts w:hint="eastAsia" w:ascii="方正小标宋_GBK" w:hAnsi="方正小标宋简体" w:eastAsia="方正小标宋_GBK" w:cs="方正小标宋简体"/>
          <w:color w:val="auto"/>
          <w:sz w:val="44"/>
          <w:szCs w:val="44"/>
          <w:u w:val="none"/>
        </w:rPr>
        <w:t>指南</w:t>
      </w:r>
    </w:p>
    <w:p>
      <w:pPr>
        <w:suppressAutoHyphens/>
        <w:spacing w:line="600" w:lineRule="exact"/>
        <w:rPr>
          <w:rFonts w:ascii="方正小标宋_GBK" w:hAnsi="方正小标宋简体" w:eastAsia="方正小标宋_GBK" w:cs="方正小标宋简体"/>
          <w:color w:val="auto"/>
          <w:sz w:val="44"/>
          <w:szCs w:val="44"/>
          <w:u w:val="none"/>
        </w:rPr>
      </w:pPr>
    </w:p>
    <w:p>
      <w:pPr>
        <w:spacing w:line="600" w:lineRule="exact"/>
        <w:ind w:firstLine="640" w:firstLineChars="200"/>
        <w:rPr>
          <w:rFonts w:hint="eastAsia" w:ascii="仿宋_GB2312" w:hAnsi="仿宋_GB2312" w:eastAsia="仿宋_GB2312" w:cs="仿宋_GB2312"/>
          <w:color w:val="auto"/>
          <w:szCs w:val="32"/>
          <w:u w:val="none"/>
        </w:rPr>
      </w:pPr>
      <w:r>
        <w:rPr>
          <w:rFonts w:hint="eastAsia" w:ascii="仿宋_GB2312" w:hAnsi="仿宋_GB2312" w:eastAsia="仿宋_GB2312" w:cs="仿宋_GB2312"/>
          <w:color w:val="auto"/>
          <w:szCs w:val="32"/>
          <w:u w:val="none"/>
        </w:rPr>
        <w:t>为发挥湖北省自然科学基金的导向作用，构建基础研究多元化投入机制，湖北省科学技术厅与湖北中医药大学、湖北省中医院共同设立湖北省自然科学基金中医药创新发展联合基金，围绕中医药科学技术发展中的紧迫需求，开展基础研究和应用基础研究，促进协同创新，提升自主创新能力。本联合基金是湖北省自然科学基金的组成部分，有关项目申请、评审和管理按照《湖北省自然科学基金管理办法》以及相关协议执行。</w:t>
      </w:r>
    </w:p>
    <w:p>
      <w:pPr>
        <w:spacing w:line="600" w:lineRule="exact"/>
        <w:ind w:firstLine="640" w:firstLineChars="200"/>
        <w:rPr>
          <w:rFonts w:hint="eastAsia" w:ascii="仿宋_GB2312" w:hAnsi="仿宋_GB2312" w:eastAsia="仿宋_GB2312" w:cs="仿宋_GB2312"/>
          <w:color w:val="auto"/>
          <w:szCs w:val="32"/>
          <w:u w:val="none"/>
        </w:rPr>
      </w:pPr>
      <w:r>
        <w:rPr>
          <w:rFonts w:hint="eastAsia" w:ascii="仿宋_GB2312" w:hAnsi="仿宋_GB2312" w:eastAsia="仿宋_GB2312" w:cs="仿宋_GB2312"/>
          <w:color w:val="auto"/>
          <w:szCs w:val="32"/>
          <w:u w:val="none"/>
        </w:rPr>
        <w:t>本联合基金重点项目资助额度原则上20万元/项，项目执行期为3年；培育项目资助额度原则上10万元/项，项目执行期为2年。具体立项资助经费额度以正式立项文件为准。项目依托单位必须确保本联合基金资助资金专款专用。</w:t>
      </w:r>
    </w:p>
    <w:p>
      <w:pPr>
        <w:spacing w:line="600" w:lineRule="exact"/>
        <w:ind w:firstLine="640" w:firstLineChars="200"/>
        <w:rPr>
          <w:rFonts w:hint="eastAsia" w:ascii="仿宋_GB2312" w:hAnsi="仿宋_GB2312" w:eastAsia="仿宋_GB2312" w:cs="仿宋_GB2312"/>
          <w:color w:val="auto"/>
          <w:szCs w:val="32"/>
          <w:u w:val="none"/>
        </w:rPr>
      </w:pPr>
      <w:r>
        <w:rPr>
          <w:rFonts w:hint="eastAsia" w:ascii="仿宋_GB2312" w:hAnsi="仿宋_GB2312" w:eastAsia="仿宋_GB2312" w:cs="仿宋_GB2312"/>
          <w:color w:val="auto"/>
          <w:szCs w:val="32"/>
          <w:u w:val="none"/>
        </w:rPr>
        <w:t>本联合基金仅面向省自然科学基金依托单位申报（依托单位注册申请规定详见《湖北省自然科学基金管理办法》第九条、第十四条），公平竞争，择优支持。鼓励各依托单位联合湖北中医药大学、湖北省中医院共同申报。</w:t>
      </w:r>
    </w:p>
    <w:p>
      <w:pPr>
        <w:spacing w:line="600" w:lineRule="exact"/>
        <w:ind w:firstLine="640" w:firstLineChars="200"/>
        <w:rPr>
          <w:rFonts w:hint="eastAsia" w:ascii="方正黑体_GBK" w:hAnsi="方正黑体_GBK" w:eastAsia="方正黑体_GBK" w:cs="方正黑体_GBK"/>
          <w:color w:val="auto"/>
          <w:szCs w:val="32"/>
          <w:u w:val="none"/>
        </w:rPr>
      </w:pPr>
      <w:r>
        <w:rPr>
          <w:rFonts w:hint="eastAsia" w:ascii="方正黑体_GBK" w:hAnsi="方正黑体_GBK" w:eastAsia="方正黑体_GBK" w:cs="方正黑体_GBK"/>
          <w:color w:val="auto"/>
          <w:szCs w:val="32"/>
          <w:u w:val="none"/>
        </w:rPr>
        <w:t>一、重点项目指南</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1.扶正益气法改善脓毒症心功能不全机制研究（学科代码360）</w:t>
      </w:r>
    </w:p>
    <w:p>
      <w:pPr>
        <w:suppressAutoHyphens/>
        <w:spacing w:line="600" w:lineRule="exact"/>
        <w:ind w:firstLine="640" w:firstLineChars="200"/>
        <w:rPr>
          <w:rFonts w:hint="eastAsia" w:ascii="方正小标宋_GBK" w:hAnsi="方正小标宋简体" w:eastAsia="方正小标宋_GBK" w:cs="方正小标宋简体"/>
          <w:color w:val="auto"/>
          <w:sz w:val="44"/>
          <w:szCs w:val="44"/>
          <w:u w:val="none"/>
        </w:rPr>
      </w:pPr>
      <w:r>
        <w:rPr>
          <w:rFonts w:hint="eastAsia" w:ascii="仿宋_GB2312" w:hAnsi="方正仿宋_GBK" w:cs="方正仿宋_GBK"/>
          <w:color w:val="auto"/>
          <w:szCs w:val="32"/>
          <w:u w:val="none"/>
        </w:rPr>
        <w:t>构建基因敲除动物模型，阐明扶正益气法通过调控NETosis抑制感染诱发炎性复合体、减少心肌细胞炎性风暴、改善脓毒症心功能不全的多靶点作用机制。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2.腹部温通刮痧疗法延缓衰老的临床疗效及其机制研究（学科代码360）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扶阳理论，整合创新中医传统诊疗技术，形成腹部温通刮痧疗法应用于老年治未病领域，从衰老相关分泌表型角度探讨该疗法对延缓衰老作用的关键机制，建立该疗法抗衰老的评价方案，制定并完善操作规范，评价抗衰老的临床疗效，为其临床应用和技术推广提供科学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3.解毒承气汤治疗脓毒症多器官损害的分子机制研究（学科代码360）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建立脓毒症肺肠损害相关基因敲除小鼠模型和细胞模型，进行解毒承气汤干预线粒体自噬通路调控研究，阐明“菌毒并治”法治疗脓毒症多器官损害的分子作用机制，为“通里攻下”法应用于脓毒症治疗提供理论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4.不同类型木质纤维素干扰芥子多酚释放和药用功效的作用机制研究（学科代码360）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以十字花科植物芥子为研究对象，采用微波耦合真菌发酵预处理，分析木质纤维素的结构和比例变化对多酚类物质释放的影响；结合代谢组学分析，对芥子提取物的组成、抗氧化作用和抑菌特性进行系统研究，并揭示其药效物质基础。</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5.基于“温阳化饮”理论的阴阳调理灸治疗肥胖患者的临床疗效及机制研究（学科代码360）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基于“温阳化饮”理论，比较阴阳调理灸治疗前后肥胖患者肠道菌群变化，评价该疗法对肥胖患者的临床疗效</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采用多组学联合菌群分析技术，探讨阴阳调理灸调节肠道菌群及其代谢产物信号通路促进米色脂肪棕色化的关键机制，结合伪无菌小鼠粪菌移植实验，验证阴阳调理灸治疗肥胖的有效靶点及有益菌群，阐释该疗法的分子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6.化痰类中药逆转肝癌血管生成拟态的机制研究（学科代码360）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方正仿宋_GBK" w:cs="方正仿宋_GBK"/>
          <w:color w:val="auto"/>
          <w:szCs w:val="32"/>
          <w:u w:val="none"/>
        </w:rPr>
        <w:t>以气血痰郁四伤学说理论为基础，构建“痰瘀-血管拟态生成”动物模型和“缺氧状态”肝癌</w:t>
      </w:r>
      <w:r>
        <w:rPr>
          <w:rFonts w:hint="eastAsia" w:ascii="仿宋_GB2312" w:hAnsi="方正仿宋_GBK" w:cs="方正仿宋_GBK"/>
          <w:color w:val="auto"/>
          <w:szCs w:val="32"/>
          <w:u w:val="none"/>
          <w:lang w:eastAsia="zh-CN"/>
        </w:rPr>
        <w:t>细</w:t>
      </w:r>
      <w:r>
        <w:rPr>
          <w:rFonts w:hint="eastAsia" w:ascii="仿宋_GB2312" w:hAnsi="方正仿宋_GBK" w:cs="方正仿宋_GBK"/>
          <w:color w:val="auto"/>
          <w:szCs w:val="32"/>
          <w:u w:val="none"/>
        </w:rPr>
        <w:t>胞模型，研究化痰类中药在肿瘤缺氧微环境下，通过调控缺氧诱导因</w:t>
      </w:r>
      <w:r>
        <w:rPr>
          <w:rFonts w:hint="eastAsia" w:ascii="仿宋_GB2312" w:hAnsi="仿宋_GB2312" w:cs="仿宋_GB2312"/>
          <w:color w:val="auto"/>
          <w:szCs w:val="32"/>
          <w:u w:val="none"/>
        </w:rPr>
        <w:t>子和激活血管生成基因的表达，抑制血管生成拟态的形成机制，探索化痰类中药治疗肝癌的新靶点，为该类药物的临床转化提供及中医理论基础。</w:t>
      </w:r>
    </w:p>
    <w:p>
      <w:pPr>
        <w:spacing w:line="600" w:lineRule="exact"/>
        <w:ind w:firstLine="640" w:firstLineChars="200"/>
        <w:rPr>
          <w:rFonts w:ascii="仿宋_GB2312" w:hAnsi="方正仿宋_GBK" w:cs="方正仿宋_GBK"/>
          <w:color w:val="auto"/>
          <w:szCs w:val="32"/>
          <w:u w:val="none"/>
        </w:rPr>
      </w:pPr>
      <w:r>
        <w:rPr>
          <w:rFonts w:hint="eastAsia" w:ascii="仿宋_GB2312" w:hAnsi="仿宋_GB2312" w:cs="仿宋_GB2312"/>
          <w:color w:val="auto"/>
          <w:szCs w:val="32"/>
          <w:u w:val="none"/>
        </w:rPr>
        <w:t>7.扶正祛邪法抑制膀胱癌复发的分子机制研究</w:t>
      </w:r>
      <w:r>
        <w:rPr>
          <w:rFonts w:hint="eastAsia" w:ascii="仿宋_GB2312" w:hAnsi="方正仿宋_GBK" w:cs="方正仿宋_GBK"/>
          <w:color w:val="auto"/>
          <w:szCs w:val="32"/>
          <w:u w:val="none"/>
        </w:rPr>
        <w:t>（学科代码320）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研究膀胱癌肿瘤微环境肿瘤相关巨噬细胞、肿瘤干细胞与免疫细胞交叉互话的调控效应，探讨中医验方极化肿瘤相关巨噬细胞、抑制肿瘤干细胞重塑免疫微环境的作用机理，阐明扶正祛邪法抑制膀胱癌复发的分子机制，为中医疗法治疗膀胱癌提供理论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8.“标本配穴”针灸法防治卵巢早衰的生物学机制研究（学科代码360）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基于卵巢早衰中医病机和相关分子生物学机制，探讨“标本配穴”针灸法对卵巢早衰的防治作用靶点，优化针灸防治卵巢早衰腧穴配伍方法。</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9.AI辅助药物设计姜黄素化合物的靶向结构修饰及其防治肝衰竭的成药性研究（学科代码360）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应用AI辅助药物设计技术对中药姜黄素类化合物进行分析预测和结构修饰，构建姜黄素结构修饰靶向预测体系，获得生物靶向单体化合物</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进行药效学评价，筛选潜在成药化合物。</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10.特色针法通过SIRT1改善胰岛素抵抗肥胖的临床和机制研究（学科代码360）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基于胰岛素抵抗型肥胖的病机，应用组学、生物信息学等技术，通过临床或基础研究，探讨特色针法干预SIRT1防治胰岛素抵抗肥胖效应机制。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11.“数智融合”模式探讨针灸治疗妇科疾病的腧穴配伍规律（学科代码360）</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方正仿宋_GBK" w:cs="方正仿宋_GBK"/>
          <w:color w:val="auto"/>
          <w:szCs w:val="32"/>
          <w:u w:val="none"/>
        </w:rPr>
        <w:t>以中医理论为指导，应用深度学习方法和AI大模型分析针灸治疗妇科系列疾病的古今医案文本，探讨针灸取穴原理和腧穴配伍规律，优化诊疗方案。</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12.中药鞣质成分调控肝实质细胞—巨噬细胞交互作用抑制代谢性脂肪性肝炎进展的分子机制研究（学科代码360）</w:t>
      </w:r>
    </w:p>
    <w:p>
      <w:pPr>
        <w:spacing w:line="600" w:lineRule="exact"/>
        <w:ind w:firstLine="640" w:firstLineChars="200"/>
        <w:rPr>
          <w:rFonts w:hint="eastAsia" w:ascii="仿宋_GB2312" w:hAnsi="方正仿宋_GBK" w:eastAsia="仿宋_GB2312" w:cs="方正仿宋_GBK"/>
          <w:color w:val="auto"/>
          <w:szCs w:val="32"/>
          <w:u w:val="none"/>
          <w:lang w:eastAsia="zh-CN"/>
        </w:rPr>
      </w:pPr>
      <w:r>
        <w:rPr>
          <w:rFonts w:hint="eastAsia" w:ascii="仿宋_GB2312" w:hAnsi="方正仿宋_GBK" w:cs="方正仿宋_GBK"/>
          <w:color w:val="auto"/>
          <w:szCs w:val="32"/>
          <w:u w:val="none"/>
        </w:rPr>
        <w:t>以中医药理论为指导，运用分子药理学和多组学等技术，探索中药鞣质成分抑制代谢性脂肪性肝炎进展的分子机制</w:t>
      </w:r>
      <w:r>
        <w:rPr>
          <w:rFonts w:hint="eastAsia" w:ascii="仿宋_GB2312" w:hAnsi="方正仿宋_GBK" w:cs="方正仿宋_GBK"/>
          <w:color w:val="auto"/>
          <w:szCs w:val="32"/>
          <w:u w:val="none"/>
          <w:lang w:eastAsia="zh-CN"/>
        </w:rPr>
        <w:t>。</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13.基于全基因组测序及重测序的射干种质资源综合评价及重要产量品质性状的全基因组关联分析（学科代码360）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通过基因组学技术对全国主要分布区的射干野生和栽培种质资源开展研究，应用全基因组测序及组装和基因组重测序拟定射干全基因组水平的SNP标记，构建射干的核心种质库，筛选优异种质资源。</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14.多酚类中药抗皮肤衰老物质基础及作用机制（学科代码360）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围绕老年健康需求，以多酚类中药为研究对象，构建皮肤衰老模型，挖掘多酚类中药抗衰功效并阐释其抗衰机制。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15.金刚藤药渣生物发酵及其抗菌促生活性研究（学科代码360）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金刚藤为鄂优16味药材，其制药后会产生大量药渣，既造成环境污染又造成资源浪费。开展金刚藤药渣化学成分鉴定和抗菌活性筛选，研制其发酵工艺，制作有抑菌和促生物活性有机肥，从而促进药渣高价值开发利用。</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16.基于多组学与纳米通道生物传感器研究肝复乐抗肝纤维化的效应物质及作用靶点（学科代码360）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通过多组学结合纳米通道生物传感器，从基因、代谢物等层面解析肝复乐抗肝纤维化物质基础和科学原理，并借助纳米通道传感器高灵敏度的特点，检测肝复乐入血成分与靶蛋白结合情况，以期明确抗肝纤维化的物质基础及靶点。</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17.枳实薤白桂枝汤防治胸痹的物质基础和机制研究（学科代码360）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基于转录组学、宏基因组学等现代生物技术，结合人工智能技术，明确枳实薤白桂枝汤治疗冠心病胸痹的药效活性，明确其高置信作用靶点、多途径作用机制及其对应药效物质基础</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基于多组学交叉和中药配伍理论，阐释中药方改善痰气互结型胸痹的潜在分子机制。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18.楚药黄精多糖组成成分及其生物合成机制研究（学科代码360）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基于4-5种不同楚药黄精的多糖成分差异，分析它们之间的多糖结构和活性差异，挖掘影响这些差异的代谢通路中的关键基因</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解析关键基因对黄精多糖代谢的影响</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构建黄精多糖代谢通路的调控网络并阐明其分子机制，系统揭示不同黄精品种之间的多糖成分差异及其内在的合成机制。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19.碎米荠囊泡提取、成分分析及功效研究（学科代码360）</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方正仿宋_GBK" w:cs="方正仿宋_GBK"/>
          <w:color w:val="auto"/>
          <w:szCs w:val="32"/>
          <w:u w:val="none"/>
        </w:rPr>
        <w:t>围绕富硒植物的深度开发利用，聚焦“聚硒之王”碎米荠囊泡基础理论研究</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探索碎米荠囊泡提取工艺</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结合生物传感、高通量测序和ICP-MS等现代分析技术，多维度分析其囊泡内的成分（蛋白、核酸、硒元素等）</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探究碎米荠囊泡的功效，揭示其在细胞通讯、免疫调节及抗衰老等方面的药理机制，为富硒植物的深度开发利用提供理论依据。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20.基于“肺与大肠相表里”探讨达原饮调节肠道微生态治疗痰湿瘀滞型肺结节机制（学科代码360）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采用UPLC-MS/MS 技术联合网络药理学分析达原饮治疗痰湿瘀滞型肺结节的潜在靶点，通过16SrDNA微生物多态性分析和代谢组学研究探讨肠道菌群及其代谢产物的改变对免疫平衡的影响，阐释达原饮基于“肠-肺”轴治疗痰湿瘀滞型肺结节的分子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21.基于高信噪比纳米酶成像探针的针刺调控氧化应激机制研究（学科代码360）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构建特异性识别ROS的高信噪比纳米酶传感探针，实现ROS的实时原位、高灵敏成像</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从组织、细胞、亚细胞等不同层面实时监测穴位局部ROS的含量变化，探究针刺深度、强度、角度等针刺手法对ROS含量变化的影响，为针刺调控氧化应激信号通路的效应机制研究及疾病防治提供有力依据。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22.湖北道地龟甲质量评价与功效科学内涵研究（学科代码360）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明确不同养殖方式中华草龟的背甲和腹甲的化学成分及差异</w:t>
      </w:r>
      <w:r>
        <w:rPr>
          <w:rFonts w:hint="eastAsia" w:ascii="仿宋_GB2312" w:hAnsi="方正仿宋_GBK" w:cs="方正仿宋_GBK"/>
          <w:color w:val="auto"/>
          <w:szCs w:val="32"/>
          <w:u w:val="none"/>
          <w:lang w:eastAsia="zh-CN"/>
        </w:rPr>
        <w:t>，以及</w:t>
      </w:r>
      <w:r>
        <w:rPr>
          <w:rFonts w:hint="eastAsia" w:ascii="仿宋_GB2312" w:hAnsi="方正仿宋_GBK" w:cs="方正仿宋_GBK"/>
          <w:color w:val="auto"/>
          <w:szCs w:val="32"/>
          <w:u w:val="none"/>
        </w:rPr>
        <w:t>中华草龟的背甲和腹甲功效成分</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阐明道地龟甲功效作用的分子机制。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23.外源硒对天麻生长及成分影响规律研究（学科代码360）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研究天麻对外源硒富集规律，理清外源硒对蜜环菌、天麻生长的互作规律，分析硒对天麻有效成分的变化规律，为富硒天麻产业发展奠定基础。</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24.基于大语言模型的社交媒体用户中医药服务模式构建与应用研究（学科代码360）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通过数据挖掘及大语言模型技术，实时监测和解析社交媒体用户的中医药健康讨论与反馈，深度分析用户群体的中医药健康需求动态变化特征、影响因素及潜在风险，构建精准的个性化中医药服务模式与关键实施路径。</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25.中药经方通过“药-菌互作”干预2型糖尿病的效应机制研究（学科代码360）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以中医药防治2型糖尿病“药-菌互作”机制为导向，明确中药经方对于2型糖尿病代谢紊乱的影响，寻找疗效相关肠道微生物靶点、药物活性成分、相关代谢通路等，明确“药-菌互作”效应及在2型糖尿病中的作用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26.和解少阳法治疗造血干细胞移植术后抑郁的靶点和标志物研究（学科代码360）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利用移植后抑郁患者样本库，采用血清学标志物检测、全转录组测序及单细胞测序，探索中医和解少阳法/方干预靶点，并寻找早期诊断与疗效评估标志物。</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27.基于“量-效”关系的新型饮片关键技术研发及示范（学科代码360）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选择“十大楚药”和“五大特色药材”，精准解析药材有效成分与疗效相关性，完成新型饮片制备工艺、量效关系研究，结合大数据分析，量化各成分贡献度，采用显微及分子鉴定技术、特征图谱标识技术制定新型饮片的质量标准，进行新型饮片应用场景及毒理安全性研究，强化质量控制体系。</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28.黄连治疗主动脉瓣膜钙化病的生物力药理学机制研究（学科代码360）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构建应力刺激的主动脉瓣膜钙化模型，探索黄连在主动脉瓣膜钙化病中的药效作用</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利用前沿多组学技术探索黄连主要活性成分在主动脉瓣膜钙化病治疗中的新途径、新机制和新靶点，阐明黄连治疗应力刺激下的主动脉瓣膜钙化病的生物力药理学作用机制，挖掘黄连新用途。</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29.基于JAK2/STAT3通路的参附方改善肝缺血再灌注损伤的物质基础及作用机制研究（学科代码360）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利用肝缺血再灌注损伤模型，筛选确定参附方改善肝缺血再灌注损伤的活性成分；结合现代分子药理学及多组学技术，阐明参附方改善肝缺血再灌注损伤的作用靶点与分子调控机制，为参附方治疗肝缺血再灌注损伤的临床应用提供科。</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30.基于内源性大麻素系统-海马免疫微环境研究异泽兰黄素抗阿尔兹海默病的作用机制（学科代码360）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采用转基因动物模型、质谱成像和空间蛋白组学技术，从调控内源性大麻素系统抑制海马区免疫系统慢性激活的角度，揭示天然黄酮异泽兰黄素缓解神经炎症和神经变性的分子机制，为AD的治疗开辟新策略和思路。</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31.基于线粒体自噬的养元填精方治疗骨质疏松症的物质基础及作用机制研究（学科代码360）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采用骨质疏松症动物模型，系统筛选确定养元填精方活性成分</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结合分子药理学、转录组学、蛋白组学等现代靶点发现技术，确定养元填精方抗骨质疏松</w:t>
      </w:r>
      <w:bookmarkStart w:id="0" w:name="_GoBack"/>
      <w:bookmarkEnd w:id="0"/>
      <w:r>
        <w:rPr>
          <w:rFonts w:hint="eastAsia" w:ascii="仿宋_GB2312" w:hAnsi="方正仿宋_GBK" w:cs="方正仿宋_GBK"/>
          <w:color w:val="auto"/>
          <w:szCs w:val="32"/>
          <w:u w:val="none"/>
        </w:rPr>
        <w:t>作用靶点</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通过生物信息学分析、生物通路验证等方法，阐明养元填精经方治疗骨质疏松症的作用。</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32.抑郁与焦虑中医辨治表征的科学内涵及中医干预研究（学科代码360）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中医药理论，筛选抑郁与焦虑辨治表观特征，结合大数据分析确定重要次序，构建多层次表征系统；在此基础上，制定中医药干预方案，通过干预效果，探究中医药理论指导下辨治抑郁与焦虑表征参数的科学内涵。</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33.基于“微生物群-肠-脑”轴探讨八段锦联合五行音乐改善老年人轻度认知障碍的疗效及机制（学科代码360）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选择具有轻度认知障碍的老年人群，通过自身对照、随机分组对照等方法，观察八段锦联合五行音乐对老年人轻度认知障碍的疗效，结合受试人群相关病理、生理指标监测，包括但不限于炎症因子、肠道微生物、神经递质等，系统分析其调控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34.基于骨发育相关细胞信号通路的先天肾虚对子代骨发育影响机制研究（学科代码360）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基于骨发育生物通路，采用多组学研究技术，结合中医“补肾填精”干预，系统研究“先天肾虚”骨发育的分子生物学特征，明确“先天肾虚”影响骨发育的生物标志物及生物调控机制。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35.电针重塑LLPS干预胃肠动力障碍大鼠的机制研究（学科代码360）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在全面观察电针刺激对胃肠动力障碍改善作用的基础上，结合分子生物学、多组学研究技术，系统分析电针刺激对胃肠动力障碍改善作用的生物标志物及其作用机制，为电针重塑胃肠动力提供科学依据。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36.针灸镇痛的外周神经机制研究（学科代码360）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采用系统分子生物学方法和生理学技术，研究针刺穴位诱导动物外周系统各种神经调质的变化及痛觉感受神经元功能的改变，阐明针灸镇痛的外周神经机制，为慢性疼痛疗法的运用提供依据。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37.“标本配穴”电针法通过调节线粒体自噬改善胰岛素抵抗肾损伤的分子机制研究（学科代码360）</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方正仿宋_GBK" w:cs="方正仿宋_GBK"/>
          <w:color w:val="auto"/>
          <w:szCs w:val="32"/>
          <w:u w:val="none"/>
        </w:rPr>
        <w:t>通过构建糖尿病肾病体内外实验模型，采用“标本配穴”电针法刺激，观察肾脏组织线粒体自噬、Drp1水平和肾损伤情况，探讨“标本配穴”电针法通过调节线粒体自噬改善胰岛素抵抗肾损伤的分子机制，为糖尿病肾病的治疗提供新的靶点和思路。</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38.经方防治轻度认知障碍的主要功效物质与作用靶点研究（学科代码360）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基于古代医案整理和发掘防呆的经典名方、特色用药，采用现代网络药理学和分子对接技术，探寻其主要功效物质和作用机制，并在实验模型中验证，为干预MCI的中药新药研制提供依据。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39.清心滋肾法防治早发性卵巢功能不全的作用机制研究（学科代码360）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通过多组学整合分析，结合基因编辑及药靶筛选技术，从表观遗传及能量代谢角度，揭示清心滋肾法防治早发性卵巢功能不全的作用机制，阐明清心滋肾法的科学内涵，为中医药防治早发性卵巢功能不全提供新的靶点和思路。</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40.基于“治未病”思想探讨黄芪建中汤治疗慢性疲劳综合征的理论基础与机制研究（学科代码360）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构建慢性疲劳综合征动物模型并以黄芪建中汤干预，探讨TLR4、MyD88、NF-κB免疫失衡与疾病活动度的关系及中药的干预作用，以期为中医防治慢性疲劳综合征提供新的思路和依据。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41.中医验方有效成分阿魏酸通过m6A表观遗传修饰调控治疗胃癌前病变的作用机制研究（学科代码360）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通过构建胃癌前病变动物模型，探索中医验方有效成分阿魏酸在胃癌前病变中通过m6A表观遗传修饰调控影响氧化应激和上皮间质转化从而发挥功效的机制，为中医药治疗胃癌前病变提供现代科学依据。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42.六字诀联合低强度有氧训练缓解微炎症改善透析患者心肺功能的机制研究（学科代码360）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以维持性透析患者为研究对象，辅以六字诀联合低强度有氧训练，通过检测患者肺功能、心功能相关参数作为评价指标，探讨六字诀联合低强度有氧训练通过调节微炎症状态改善心肺功能的机制研究。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43.基于“脾肾相济”理论研究中医经方调控肠道菌群治疗绝经后骨质疏松症作用机制（学科代码360）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研究绝经后骨质疏松症肠道菌群特征与GDF-６表达相关性；解析临床与动物实验中调控 GDF-６表达的肠道微生物，阐明肠-骨轴作用通路；建立“脾肾相济”理论指导下作用于“肠-骨轴”的疾病治疗策略，形成疾病临床治疗方案。</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方正仿宋_GBK" w:cs="方正仿宋_GBK"/>
          <w:color w:val="auto"/>
          <w:szCs w:val="32"/>
          <w:u w:val="none"/>
        </w:rPr>
        <w:t>44.温肾健脾化痰方下调PTGS1激活IRG1/itaconate通路缓解肥胖相关性肾病的分子机制研究（学科代码360）</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方正仿宋_GBK" w:cs="方正仿宋_GBK"/>
          <w:color w:val="auto"/>
          <w:szCs w:val="32"/>
          <w:u w:val="none"/>
        </w:rPr>
        <w:t>通过肥胖相关性肾病（ORG）大鼠模型解析PTGS1在脂肪变性和炎症中的作用及温肾健脾化痰方干预效应；结合细胞培养、靶向代谢组学等技术，明晰PTGS1/E2F4/IRG1信号在肾脏脂质和能量代谢中的分子机制。从体内-细胞-分子-有机酸多层次阐释PTGS1/E2F4/IRG1/itaconate轴在ORG进展中的作用及温肾健脾化痰方调控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45.“清热活血法”对脓毒症AKI中PGC-1α影响机制研究（学科代码360）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建立小鼠脓毒症AKI模型，使用中医经典方剂“清热活血方”加减，运用“清热活血法”探讨PGC-1α激活表达，观察肾组织病理结构及细胞凋亡情况并探讨其机制。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46.通任调督针法联合TBS干预卒中后运动性失语患者的脑功能重建的机制研究（学科代码360）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优化通任调督针法联合TBS的治疗方案，比较不同治疗方式对脑卒中后运动性失语患者的疗效差异，为临床提供优化的康复治疗处方；治疗前后使用脑电图评价大脑损伤区各波段相对功率值的变化，通过近红外脑功能成像描述频率特异性皮层活动，探讨通任调督针刺联合TBS治疗卒中后运动性失语患者脑功能重建的机制。</w:t>
      </w:r>
    </w:p>
    <w:p>
      <w:pPr>
        <w:spacing w:line="600" w:lineRule="exact"/>
        <w:ind w:firstLine="640" w:firstLineChars="200"/>
        <w:rPr>
          <w:rFonts w:hint="eastAsia" w:ascii="方正黑体_GBK" w:hAnsi="方正黑体_GBK" w:eastAsia="方正黑体_GBK" w:cs="方正黑体_GBK"/>
          <w:color w:val="auto"/>
          <w:szCs w:val="32"/>
          <w:u w:val="none"/>
        </w:rPr>
      </w:pPr>
      <w:r>
        <w:rPr>
          <w:rFonts w:hint="eastAsia" w:ascii="方正黑体_GBK" w:hAnsi="方正黑体_GBK" w:eastAsia="方正黑体_GBK" w:cs="方正黑体_GBK"/>
          <w:color w:val="auto"/>
          <w:szCs w:val="32"/>
          <w:u w:val="none"/>
        </w:rPr>
        <w:t>二、培育项目指南</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w:t>
      </w:r>
      <w:r>
        <w:rPr>
          <w:rFonts w:hint="eastAsia" w:ascii="仿宋_GB2312" w:hAnsi="方正仿宋_GBK" w:cs="方正仿宋_GBK"/>
          <w:color w:val="auto"/>
          <w:szCs w:val="32"/>
          <w:u w:val="none"/>
          <w:lang w:val="en-US" w:eastAsia="zh-CN"/>
        </w:rPr>
        <w:t>补肾固本验方通过ERβ/PCG1α/TFAM通路重塑线粒体稳态治疗卵巢储备功能减退的机制研究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2.基于“化瘀生新”探讨红花及其药效物质治疗椎间盘退变的机制研究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3.基于“脑-肠-菌群”轴探讨疏肝健脾法联合粪菌移植治疗IBS-D伴抑郁症的机制研究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4.基于“培土生金”理论探讨黄精多糖防治慢性阻塞性肺病的分子机制研究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w:t>
      </w:r>
      <w:r>
        <w:rPr>
          <w:rFonts w:hint="eastAsia" w:ascii="仿宋_GB2312" w:hAnsi="方正仿宋_GBK" w:cs="方正仿宋_GBK"/>
          <w:color w:val="auto"/>
          <w:szCs w:val="32"/>
          <w:u w:val="none"/>
          <w:lang w:val="en-US" w:eastAsia="zh-CN"/>
        </w:rPr>
        <w:t>基于可溶性α-Klotho/FGF23/Wnt通路探索补肾活血方调控糖尿病肾病骨代谢异常的分子机制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6.益气活血利水方联合太极拳康复治疗慢性心力衰竭及其机制研究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7.基于ITGB1/ILK/TCF4力学传感轴的太极推拿横络解结法改善“筋伤”骨骼肌纤维化的作用机制研究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8.基于HIF-1α/PFKFB3糖酵解通路的葛根芩连汤防治2型糖尿病分子机制研究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9.淫羊藿抑制中性粒细胞胞外诱捕网形成控制M1巨噬细胞极化干预腹主动脉瘤形成的机制研究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10.基于“脾为之卫”理论探讨TLR9激活诱导Gd-IgA1产生在IgA肾病的发生机制及中医验方干预</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11.基于“痹者多瘀”探讨身痛逐瘀汤改善神经病理性疼痛的机制及临床研究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12.基于PINK1基因探讨中医经方干预“自噬-铁死亡”通路治疗顺铂所致急性肾损伤的作用机制。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13.基于SIRT1去乙酰化减轻海马区神经炎症探讨调腹通窍太极推拿手法治疗缺血性PSD的临床疗效和机制研究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14.基于“肾藏精”理论探讨Klotho/IGF1通路介导糖尿病肾脏病线粒体损伤的机制及三七外泌体的干预作用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15.经皮耳迷走神经刺激调节肠-脑轴治疗帕金森病的作用和机制研究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16.基于JNK/nephrin信号通路探讨“通腑泄热”法对糖尿病肾病肾小球滤过屏障保护作用的机制研究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17.不同加工方式对艾叶药性的影响及其对肛肠免疫屏障修复作用研究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18.基于miR-199b-5p探讨“益气养阴、利水</w:t>
      </w:r>
      <w:r>
        <w:rPr>
          <w:rFonts w:hint="eastAsia" w:ascii="仿宋_GB2312" w:hAnsi="仿宋_GB2312" w:cs="仿宋_GB2312"/>
          <w:color w:val="auto"/>
          <w:szCs w:val="32"/>
          <w:u w:val="none"/>
          <w:lang w:val="en-US" w:eastAsia="zh-CN"/>
        </w:rPr>
        <w:t>泻</w:t>
      </w:r>
      <w:r>
        <w:rPr>
          <w:rFonts w:hint="eastAsia" w:ascii="仿宋_GB2312" w:hAnsi="仿宋_GB2312" w:cs="仿宋_GB2312"/>
          <w:color w:val="auto"/>
          <w:szCs w:val="32"/>
          <w:u w:val="none"/>
        </w:rPr>
        <w:t>浊”验方改善肾纤维化的机制研究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19.电针通过下丘脑“瘦素-BDNF”轴调控白色脂肪棕色化改善肥胖的机制研究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20.基于PINK1/Parkin通路调控线粒体自噬探讨温补肾阳法治疗COPD肾阳虚证的作用机制研究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21.基于“阴中求阳”理论探讨枸杞多糖通过SOX4调节线粒体功能障碍抑制关节软骨退变的机制研究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22.基于组学探讨“清热祛湿”法治疗溃疡性结肠炎的机制研究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23.基于自噬相关蛋白LC3B-II研究省内中医流派疏肝解郁化痰消瘿法治疗桥本甲状腺炎的作用机制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24.“益气行水”方调控SH2B1基因在心衰治疗中的分子机制研究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25.</w:t>
      </w:r>
      <w:r>
        <w:rPr>
          <w:rFonts w:hint="eastAsia" w:ascii="仿宋_GB2312" w:hAnsi="方正仿宋_GBK" w:cs="方正仿宋_GBK"/>
          <w:color w:val="auto"/>
          <w:szCs w:val="32"/>
          <w:u w:val="none"/>
          <w:lang w:val="en-US" w:eastAsia="zh-CN"/>
        </w:rPr>
        <w:t>基于脾胰同源理论探讨</w:t>
      </w:r>
      <w:r>
        <w:rPr>
          <w:rFonts w:hint="eastAsia" w:ascii="仿宋_GB2312" w:hAnsi="仿宋_GB2312" w:cs="仿宋_GB2312"/>
          <w:color w:val="auto"/>
          <w:szCs w:val="32"/>
          <w:u w:val="none"/>
        </w:rPr>
        <w:t>太子参调控肠道菌群紊乱治疗2型糖尿病机制</w:t>
      </w:r>
      <w:r>
        <w:rPr>
          <w:rFonts w:hint="eastAsia" w:ascii="仿宋_GB2312" w:hAnsi="方正仿宋_GBK" w:cs="方正仿宋_GBK"/>
          <w:color w:val="auto"/>
          <w:szCs w:val="32"/>
          <w:u w:val="none"/>
        </w:rPr>
        <w:t>（学科代码360）</w:t>
      </w:r>
    </w:p>
    <w:p>
      <w:pPr>
        <w:spacing w:line="600" w:lineRule="exact"/>
        <w:ind w:firstLine="640" w:firstLineChars="200"/>
        <w:rPr>
          <w:rFonts w:hint="eastAsia" w:ascii="仿宋_GB2312" w:hAnsi="仿宋_GB2312" w:cs="仿宋_GB2312"/>
          <w:color w:val="auto"/>
          <w:szCs w:val="32"/>
          <w:u w:val="none"/>
        </w:rPr>
      </w:pPr>
      <w:r>
        <w:rPr>
          <w:rFonts w:hint="eastAsia" w:ascii="仿宋_GB2312" w:hAnsi="仿宋_GB2312" w:cs="仿宋_GB2312"/>
          <w:color w:val="auto"/>
          <w:szCs w:val="32"/>
          <w:u w:val="none"/>
        </w:rPr>
        <w:t>26.基于迷走神经肠道毒蕈碱受体3探讨太极推拿“升清降浊”法治疗肌萎缩侧索硬化症机制研究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27.不同寄主桦褐孔菌改善非酒精性脂肪肝炎的机制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28.创面修复临床验方可溶性微针的构建、评价和临床应用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29.运动训练结合中药通过IL-6调控下丘脑葡萄糖转运防治抑郁症的机制研究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30.防治心血管疾病的中药活性成分筛选及其机制研究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31.基于NF-kB通路介导巨噬细胞极化探讨清热化痰方防治动脉粥样硬化的机制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32.基于糖代谢重编程探究人参提取物RH2治疗黑色素瘤的机制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33.基于自噬-溶酶体途径探讨电针改善AD线粒体功能及认知障碍的机制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34.基于“肾脑相济”研究针灸调控肾-脑轴改善衰老的机制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35.补肾安神益智方调节小胶质细胞昼夜节律紊乱防治AD睡眠障碍的机制研究</w:t>
      </w:r>
      <w:r>
        <w:rPr>
          <w:rFonts w:hint="eastAsia" w:ascii="仿宋_GB2312" w:hAnsi="方正仿宋_GBK" w:cs="方正仿宋_GBK"/>
          <w:color w:val="auto"/>
          <w:szCs w:val="32"/>
          <w:u w:val="none"/>
        </w:rPr>
        <w:t>（学科代码360）</w:t>
      </w:r>
    </w:p>
    <w:p>
      <w:pPr>
        <w:spacing w:line="600" w:lineRule="exact"/>
        <w:ind w:firstLine="640" w:firstLineChars="200"/>
        <w:rPr>
          <w:rFonts w:hint="eastAsia" w:ascii="仿宋_GB2312" w:hAnsi="仿宋_GB2312" w:cs="仿宋_GB2312"/>
          <w:color w:val="auto"/>
          <w:szCs w:val="32"/>
          <w:u w:val="none"/>
        </w:rPr>
      </w:pPr>
      <w:r>
        <w:rPr>
          <w:rFonts w:hint="eastAsia" w:ascii="仿宋_GB2312" w:hAnsi="仿宋_GB2312" w:cs="仿宋_GB2312"/>
          <w:color w:val="auto"/>
          <w:szCs w:val="32"/>
          <w:u w:val="none"/>
        </w:rPr>
        <w:t>36.基于“木德敷和”探讨加味止哮平喘方调控PI3K/Akt通路治疗支气管哮喘的机制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37.清火通络方调控HIF1α/VEGF通路干预肝癌血管生成的机制与临床研究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38.荆楚古今名家妇科方药医案数据库建设与方证用药特色规律研究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39.电针标本配穴调控花生四烯酸代谢-炎症网络治疗慢性应激性非酒精性脂肪肝的机制研究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40.基于固本清源、气血水同调法探讨乳腺癌早期的防治机制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41.基于“阴平阳秘”理论探讨骨关节炎性激素水平与生物标志物的关联性</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42.基于中性粒细胞胞外诱捕网（NETs）探讨电针预处理抑制高血糖肾损伤的机制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43.基于TRPV1信号通路探讨同源点针刺疗法对神经根型颈椎病的疗效及机制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44.补脏通络方来源的miRNA治疗糖尿病肾病的靶基因及作用机制研究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45.鄂西山茱萸调控脂代谢和重塑“炎癌转化”效应抑制脂肪性肝病相关肝癌的机制研究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46.不同产地野菊黄酮苷积累差异的转录调控机制研究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47.天麻钩藤饮联合左旋多巴对慢性锰中毒诱发的帕金森样病变的干预作用与机制研究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48.基于肠道菌群-代谢重编程探讨菝葜在防治结直肠腺瘤中的物质基础及作用机制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49.基于“成分-药效”关联研究枳术汤炮制前后化学成分差异及抗溃疡性结肠炎损伤的作用机制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50.蕲艾中草甘膦残留量的高通量快检平台建立</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51.基于泛基因组的黄连资源精准评价和品质形成遗传基础研究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52.基于调节血管内皮细胞-单核细胞串扰探究菝葜抗动脉粥样硬化的作用机制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53.基于菌群-成分-代谢关联变化探讨萸黄连改善溃疡性结肠炎作用机制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54.基于靶向DNA损伤修复和细胞周期相关基因探讨“生地-天冬”药对延缓皮肤光老化的作用机制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55.基于代谢重编程联合多组学探讨“解毒、燥湿、祛痰”类矿物药调控乳腺癌免疫应答的作用机制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56.基于症状科学模型的急性脑卒中患者“症-病-证”精准预测和干预研究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57.AI辅助的痰湿型代谢综合征肠道宏基因组变异位点研究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58.基于人工智能的防治脾胃病经典名方深度挖掘</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59.基于DNA复制系统的抗腺病毒新靶点研究及中药筛选</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60.角调音乐疗法干预气郁质失眠的脑肠轴机制探讨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61.慢性病中医药健康管理的成本收益及费用保障机制研究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62.老年常见疾病临床诊疗及预防知识库构建</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63.基于中医药大数据的人工智能的开发研究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64.父代肾虚影响仔鼠大脑皮质层发育的分子机制研究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65.战略购买导向下中医优势病种医保支付模式及其设计优化策略研究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66.知识教育与中医综合疗法对社区老年人睡眠模式及社会适应度的影响研究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67.苍附导痰汤合佛手散配合中医适宜技术治疗肥胖型多囊卵巢综合征的临床研究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68.醒脑安神法择时给药对衰老模型昼夜节律的影响及作用机制研究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69.基于人群队列的中医体质特征与非酒精性脂肪性肝炎的相关性及生物学机制研究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70.同源点针刺调控外泌体释放诱导巨噬细胞极化改善骨关节炎的机制研究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71.基于色氨酸代谢调控ENS途径探讨电针治疗功能性消化不良的作用机制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72.心悸不寐的免疫炎症机制及“心脑同治”法的干预作用研究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73.基于糖代谢重编程介导CD8+T细胞活化探讨活血通络法治疗三阴乳腺癌的作用机制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74.基于“炎症-代谢”途径调控雄激素合成探讨慢性运动疲劳男性生殖功能损伤的机制及中药方的防治作用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75.基于“以气治神”理论从CX3CL1-CX3CR1轴介导海马神经元-小胶质细胞互作探讨疏肝和胃法治疗抑郁症的机制研究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76.活血安神益智方通过代谢调控改善老年失眠大鼠学习记忆的机制研究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77.“柔肝散瘀”中药组分对剪切力诱导的动脉粥样硬化内皮功能紊乱调节机制及配伍优化研究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78.基于“线粒体功能障碍—炎症反应”探讨痤疮加速皮肤老化的作用机制及疏肝补肾法干预作用研究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79.基于Leptin/JAK2/STAT3通路探讨针灸传感针治疗肥胖症的中枢机制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80.基于“脾为后天之本”理论探讨补脾中药对胰岛类器官的保护和修复作用机制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81.基于铁死亡-氧化失衡探讨中医经方治疗结直肠癌的作用机制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82.针灸激活HSP-TLR增强特异性免疫应答发挥疫苗佐剂功效及机制研究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83.基于内质网-线粒体钙转移探讨老年慢性肾小球肾炎足细胞衰老发生机制及清热活血中药干预作用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84.基于 Cx43 蛋白研究先天肾虚对骨骼能量稳态的影响及中药防治作用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85.基于“运转枢机”法探讨柴胡四物汤治疗绝经后女性脂代谢紊乱的作用机制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86.基于Reelin蛋白研究先天肾虚与儿童孤独症谱系障碍相关性分子机制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87.国医大师运用柴胡陷胸汤治疗慢性胃炎的临证经验及药效物质基础研究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88.基于“粗守关，上守机”理论探讨电针通过腺苷受体及其转运体调控AMPK信号通路缓解炎症痛的作用机制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89.基于培土生金法治疗慢性阻塞性肺疾病的中药挖掘及作用机制研究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90.基于“脾升胃降”理论探讨合募配穴针刺调控外泌体miRNA介导的TLR4/NLRP3信号通路治疗卒中后抑郁的机制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91.基于PI3K/AKT/mTOR通路探讨同源点针刺夹脊穴治疗大鼠脊髓损伤后神经源性膀胱的作用机制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92.“卧-坐-立”序贯八段锦联合重症康复对ICU获得性肌无力的疗效及机制研究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93.体外冲击波联合舒筋活血方热敷在风寒湿型肩周炎中的临床疗效观察及作用机制研究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94.基于队列设计结合多组学技术探讨二活汤治疗类风湿关节炎的分子机制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95.中医经方靶向调节功能菌株治疗肠痈术后肠功能障碍的作用机制研究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仿宋_GB2312" w:cs="仿宋_GB2312"/>
          <w:color w:val="auto"/>
          <w:szCs w:val="32"/>
          <w:u w:val="none"/>
        </w:rPr>
        <w:t>96.基于HIF-1α介导PI3K/AKT信号通路研究网果酸模治疗消化性溃疡的作用机制</w:t>
      </w:r>
      <w:r>
        <w:rPr>
          <w:rFonts w:hint="eastAsia" w:ascii="仿宋_GB2312" w:hAnsi="方正仿宋_GBK" w:cs="方正仿宋_GBK"/>
          <w:color w:val="auto"/>
          <w:szCs w:val="32"/>
          <w:u w:val="none"/>
        </w:rPr>
        <w:t>（学科代码360）</w:t>
      </w:r>
    </w:p>
    <w:p>
      <w:pPr>
        <w:spacing w:line="600" w:lineRule="exact"/>
        <w:ind w:firstLine="640" w:firstLineChars="200"/>
        <w:rPr>
          <w:rFonts w:hint="eastAsia" w:ascii="仿宋_GB2312" w:hAnsi="方正仿宋_GBK" w:cs="方正仿宋_GBK"/>
          <w:color w:val="auto"/>
          <w:szCs w:val="32"/>
          <w:u w:val="none"/>
          <w:lang w:val="en-US" w:eastAsia="zh-CN"/>
        </w:rPr>
      </w:pPr>
      <w:r>
        <w:rPr>
          <w:rFonts w:hint="eastAsia" w:ascii="仿宋_GB2312" w:hAnsi="方正仿宋_GBK" w:cs="方正仿宋_GBK"/>
          <w:color w:val="auto"/>
          <w:szCs w:val="32"/>
          <w:u w:val="none"/>
          <w:lang w:val="en-US" w:eastAsia="zh-CN"/>
        </w:rPr>
        <w:t>97.基于早发性卵巢功能不全患者肠道菌群特征探讨名医验方改善卵巢功能的作用机制（学科代码360）</w:t>
      </w:r>
    </w:p>
    <w:p>
      <w:pPr>
        <w:spacing w:line="600" w:lineRule="exact"/>
        <w:ind w:firstLine="640" w:firstLineChars="200"/>
        <w:rPr>
          <w:rFonts w:hint="default" w:ascii="仿宋_GB2312" w:hAnsi="方正仿宋_GBK" w:eastAsia="仿宋_GB2312" w:cs="方正仿宋_GBK"/>
          <w:color w:val="auto"/>
          <w:szCs w:val="32"/>
          <w:u w:val="none"/>
          <w:lang w:val="en-US" w:eastAsia="zh-CN"/>
        </w:rPr>
      </w:pPr>
    </w:p>
    <w:p>
      <w:pPr>
        <w:spacing w:line="600" w:lineRule="exact"/>
        <w:ind w:firstLine="640" w:firstLineChars="200"/>
        <w:rPr>
          <w:rFonts w:hint="eastAsia" w:ascii="仿宋_GB2312" w:hAnsi="仿宋_GB2312" w:cs="仿宋_GB2312"/>
          <w:color w:val="auto"/>
          <w:szCs w:val="32"/>
          <w:u w:val="none"/>
        </w:rPr>
      </w:pPr>
    </w:p>
    <w:p>
      <w:pPr>
        <w:spacing w:line="600" w:lineRule="exact"/>
        <w:ind w:firstLine="640" w:firstLineChars="200"/>
        <w:rPr>
          <w:rFonts w:hint="eastAsia" w:ascii="仿宋_GB2312" w:hAnsi="仿宋_GB2312" w:cs="仿宋_GB2312"/>
          <w:color w:val="auto"/>
          <w:szCs w:val="32"/>
          <w:u w:val="none"/>
        </w:rPr>
      </w:pPr>
    </w:p>
    <w:p>
      <w:pPr>
        <w:spacing w:line="600" w:lineRule="exact"/>
        <w:ind w:firstLine="640" w:firstLineChars="200"/>
        <w:rPr>
          <w:rFonts w:hint="eastAsia" w:ascii="仿宋_GB2312" w:hAnsi="仿宋_GB2312" w:cs="仿宋_GB2312"/>
          <w:color w:val="auto"/>
          <w:szCs w:val="32"/>
          <w:u w:val="none"/>
        </w:rPr>
      </w:pPr>
    </w:p>
    <w:p>
      <w:pPr>
        <w:spacing w:line="600" w:lineRule="exact"/>
        <w:ind w:firstLine="640" w:firstLineChars="200"/>
        <w:rPr>
          <w:rFonts w:hint="eastAsia" w:ascii="仿宋_GB2312" w:hAnsi="仿宋_GB2312" w:cs="仿宋_GB2312"/>
          <w:color w:val="auto"/>
          <w:szCs w:val="32"/>
          <w:u w:val="none"/>
        </w:rPr>
      </w:pPr>
    </w:p>
    <w:p>
      <w:pPr>
        <w:spacing w:line="600" w:lineRule="exact"/>
        <w:ind w:firstLine="640" w:firstLineChars="200"/>
        <w:rPr>
          <w:rFonts w:hint="eastAsia" w:ascii="仿宋_GB2312" w:hAnsi="方正仿宋_GBK" w:cs="方正仿宋_GBK"/>
          <w:color w:val="auto"/>
          <w:szCs w:val="32"/>
          <w:u w:val="none"/>
        </w:rPr>
      </w:pPr>
    </w:p>
    <w:p>
      <w:pPr>
        <w:spacing w:line="600" w:lineRule="exact"/>
        <w:ind w:firstLine="640" w:firstLineChars="200"/>
        <w:rPr>
          <w:rFonts w:hint="eastAsia" w:ascii="仿宋_GB2312" w:hAnsi="方正仿宋_GBK" w:cs="方正仿宋_GBK"/>
          <w:color w:val="auto"/>
          <w:szCs w:val="32"/>
          <w:u w:val="none"/>
        </w:rPr>
      </w:pPr>
    </w:p>
    <w:p>
      <w:pPr>
        <w:rPr>
          <w:color w:val="auto"/>
          <w:u w:val="none"/>
        </w:rPr>
      </w:pPr>
    </w:p>
    <w:sectPr>
      <w:pgSz w:w="11900" w:h="16840"/>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2010600030101010101"/>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方正小标宋_GBK">
    <w:altName w:val="方正小标宋简体"/>
    <w:panose1 w:val="02000000000000000000"/>
    <w:charset w:val="86"/>
    <w:family w:val="script"/>
    <w:pitch w:val="default"/>
    <w:sig w:usb0="00000000" w:usb1="00000000" w:usb2="00000000" w:usb3="00000000" w:csb0="00040000" w:csb1="00000000"/>
  </w:font>
  <w:font w:name="方正黑体_GBK">
    <w:altName w:val="汉仪中黑KW"/>
    <w:panose1 w:val="02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等线 Light">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等线">
    <w:altName w:val="汉仪中等线K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51C"/>
    <w:rsid w:val="00004266"/>
    <w:rsid w:val="0004196F"/>
    <w:rsid w:val="00106B06"/>
    <w:rsid w:val="00205F40"/>
    <w:rsid w:val="00301480"/>
    <w:rsid w:val="003878BC"/>
    <w:rsid w:val="004D667B"/>
    <w:rsid w:val="005849A0"/>
    <w:rsid w:val="0059636E"/>
    <w:rsid w:val="00636085"/>
    <w:rsid w:val="00753D1D"/>
    <w:rsid w:val="00756A7F"/>
    <w:rsid w:val="00784C9A"/>
    <w:rsid w:val="008B3062"/>
    <w:rsid w:val="009203EB"/>
    <w:rsid w:val="009B151C"/>
    <w:rsid w:val="00D40BF5"/>
    <w:rsid w:val="00DC0473"/>
    <w:rsid w:val="00E67A3B"/>
    <w:rsid w:val="00F23521"/>
    <w:rsid w:val="37FB0C20"/>
    <w:rsid w:val="4FBD5E45"/>
    <w:rsid w:val="5D1BE49A"/>
    <w:rsid w:val="77E729DA"/>
    <w:rsid w:val="B2FBC55E"/>
    <w:rsid w:val="BD954657"/>
    <w:rsid w:val="E3F3233C"/>
    <w:rsid w:val="E4AD27E4"/>
    <w:rsid w:val="EEA6FC35"/>
    <w:rsid w:val="F0D1B13C"/>
    <w:rsid w:val="FFF7F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黑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szCs w:val="20"/>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bCs/>
      <w:color w:val="104862" w:themeColor="accent1" w:themeShade="BF"/>
      <w:kern w:val="0"/>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bCs/>
      <w:color w:val="104862" w:themeColor="accent1" w:themeShade="BF"/>
      <w:kern w:val="0"/>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bCs/>
      <w:color w:val="104862" w:themeColor="accent1" w:themeShade="BF"/>
      <w:kern w:val="0"/>
      <w:szCs w:val="32"/>
    </w:rPr>
  </w:style>
  <w:style w:type="paragraph" w:styleId="5">
    <w:name w:val="heading 4"/>
    <w:basedOn w:val="1"/>
    <w:next w:val="1"/>
    <w:link w:val="18"/>
    <w:semiHidden/>
    <w:unhideWhenUsed/>
    <w:qFormat/>
    <w:uiPriority w:val="9"/>
    <w:pPr>
      <w:keepNext/>
      <w:keepLines/>
      <w:spacing w:before="80" w:after="40"/>
      <w:outlineLvl w:val="3"/>
    </w:pPr>
    <w:rPr>
      <w:rFonts w:asciiTheme="minorHAnsi" w:hAnsiTheme="minorHAnsi" w:eastAsiaTheme="minorEastAsia" w:cstheme="majorBidi"/>
      <w:bCs/>
      <w:color w:val="104862" w:themeColor="accent1" w:themeShade="BF"/>
      <w:kern w:val="0"/>
      <w:sz w:val="28"/>
      <w:szCs w:val="28"/>
    </w:rPr>
  </w:style>
  <w:style w:type="paragraph" w:styleId="6">
    <w:name w:val="heading 5"/>
    <w:basedOn w:val="1"/>
    <w:next w:val="1"/>
    <w:link w:val="19"/>
    <w:semiHidden/>
    <w:unhideWhenUsed/>
    <w:qFormat/>
    <w:uiPriority w:val="9"/>
    <w:pPr>
      <w:keepNext/>
      <w:keepLines/>
      <w:spacing w:before="80" w:after="40"/>
      <w:outlineLvl w:val="4"/>
    </w:pPr>
    <w:rPr>
      <w:rFonts w:asciiTheme="minorHAnsi" w:hAnsiTheme="minorHAnsi" w:eastAsiaTheme="minorEastAsia" w:cstheme="majorBidi"/>
      <w:bCs/>
      <w:color w:val="104862" w:themeColor="accent1" w:themeShade="BF"/>
      <w:kern w:val="0"/>
      <w:sz w:val="24"/>
      <w:szCs w:val="24"/>
    </w:rPr>
  </w:style>
  <w:style w:type="paragraph" w:styleId="7">
    <w:name w:val="heading 6"/>
    <w:basedOn w:val="1"/>
    <w:next w:val="1"/>
    <w:link w:val="20"/>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kern w:val="0"/>
      <w:szCs w:val="32"/>
    </w:rPr>
  </w:style>
  <w:style w:type="paragraph" w:styleId="8">
    <w:name w:val="heading 7"/>
    <w:basedOn w:val="1"/>
    <w:next w:val="1"/>
    <w:link w:val="21"/>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kern w:val="0"/>
      <w:szCs w:val="32"/>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asciiTheme="minorHAnsi" w:hAnsiTheme="minorHAnsi" w:eastAsiaTheme="minorEastAsia" w:cstheme="majorBidi"/>
      <w:bCs/>
      <w:color w:val="595959" w:themeColor="text1" w:themeTint="A6"/>
      <w:kern w:val="0"/>
      <w:szCs w:val="32"/>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asciiTheme="minorHAnsi" w:hAnsiTheme="minorHAnsi" w:eastAsiaTheme="majorEastAsia" w:cstheme="majorBidi"/>
      <w:bCs/>
      <w:color w:val="595959" w:themeColor="text1" w:themeTint="A6"/>
      <w:kern w:val="0"/>
      <w:szCs w:val="32"/>
      <w14:textFill>
        <w14:solidFill>
          <w14:schemeClr w14:val="tx1">
            <w14:lumMod w14:val="65000"/>
            <w14:lumOff w14:val="35000"/>
          </w14:schemeClr>
        </w14:solidFill>
      </w14:textFil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bCs/>
      <w:color w:val="595959" w:themeColor="text1" w:themeTint="A6"/>
      <w:spacing w:val="15"/>
      <w:kern w:val="0"/>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bCs/>
      <w:color w:val="auto"/>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rPr>
  </w:style>
  <w:style w:type="character" w:customStyle="1" w:styleId="18">
    <w:name w:val="标题 4 字符"/>
    <w:basedOn w:val="14"/>
    <w:link w:val="5"/>
    <w:semiHidden/>
    <w:qFormat/>
    <w:uiPriority w:val="9"/>
    <w:rPr>
      <w:rFonts w:asciiTheme="minorHAnsi" w:hAnsiTheme="minorHAnsi" w:eastAsiaTheme="minorEastAsia" w:cstheme="majorBidi"/>
      <w:color w:val="104862" w:themeColor="accent1" w:themeShade="BF"/>
      <w:sz w:val="28"/>
      <w:szCs w:val="28"/>
    </w:rPr>
  </w:style>
  <w:style w:type="character" w:customStyle="1" w:styleId="19">
    <w:name w:val="标题 5 字符"/>
    <w:basedOn w:val="14"/>
    <w:link w:val="6"/>
    <w:semiHidden/>
    <w:qFormat/>
    <w:uiPriority w:val="9"/>
    <w:rPr>
      <w:rFonts w:asciiTheme="minorHAnsi" w:hAnsiTheme="minorHAnsi" w:eastAsiaTheme="minorEastAsia" w:cstheme="majorBidi"/>
      <w:color w:val="104862" w:themeColor="accent1" w:themeShade="BF"/>
      <w:sz w:val="24"/>
      <w:szCs w:val="24"/>
    </w:rPr>
  </w:style>
  <w:style w:type="character" w:customStyle="1" w:styleId="20">
    <w:name w:val="标题 6 字符"/>
    <w:basedOn w:val="14"/>
    <w:link w:val="7"/>
    <w:semiHidden/>
    <w:qFormat/>
    <w:uiPriority w:val="9"/>
    <w:rPr>
      <w:rFonts w:asciiTheme="minorHAnsi" w:hAnsiTheme="minorHAnsi" w:eastAsiaTheme="minorEastAsia" w:cstheme="majorBidi"/>
      <w:b/>
      <w:color w:val="104862" w:themeColor="accent1" w:themeShade="BF"/>
    </w:rPr>
  </w:style>
  <w:style w:type="character" w:customStyle="1" w:styleId="21">
    <w:name w:val="标题 7 字符"/>
    <w:basedOn w:val="14"/>
    <w:link w:val="8"/>
    <w:semiHidden/>
    <w:qFormat/>
    <w:uiPriority w:val="9"/>
    <w:rPr>
      <w:rFonts w:asciiTheme="minorHAnsi" w:hAnsiTheme="minorHAnsi" w:eastAsiaTheme="minorEastAsia" w:cstheme="majorBidi"/>
      <w:b/>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asciiTheme="minorHAnsi" w:hAnsiTheme="minorHAnsi" w:eastAsiaTheme="minorEastAsia"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rFonts w:cs="黑体"/>
      <w:bCs/>
      <w:i/>
      <w:iCs/>
      <w:color w:val="404040" w:themeColor="text1" w:themeTint="BF"/>
      <w:kern w:val="0"/>
      <w:szCs w:val="32"/>
      <w14:textFill>
        <w14:solidFill>
          <w14:schemeClr w14:val="tx1">
            <w14:lumMod w14:val="75000"/>
            <w14:lumOff w14:val="25000"/>
          </w14:schemeClr>
        </w14:solidFill>
      </w14:textFil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rPr>
      <w:rFonts w:cs="黑体"/>
      <w:bCs/>
      <w:color w:val="auto"/>
      <w:kern w:val="0"/>
      <w:szCs w:val="32"/>
    </w:r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cs="黑体"/>
      <w:bCs/>
      <w:i/>
      <w:iCs/>
      <w:color w:val="104862" w:themeColor="accent1" w:themeShade="BF"/>
      <w:kern w:val="0"/>
      <w:szCs w:val="32"/>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smallCaps/>
      <w:color w:val="104862" w:themeColor="accent1" w:themeShade="BF"/>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1690</Words>
  <Characters>9633</Characters>
  <Lines>80</Lines>
  <Paragraphs>22</Paragraphs>
  <TotalTime>3</TotalTime>
  <ScaleCrop>false</ScaleCrop>
  <LinksUpToDate>false</LinksUpToDate>
  <CharactersWithSpaces>11301</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2024-09-20T07:07:00Z</dcterms:created>
  <dc:creator>wei ping</dc:creator>
  <cp:lastModifiedBy>WPS_1692262740</cp:lastModifiedBy>
  <dcterms:modified xsi:type="dcterms:W3CDTF">2025-03-11T16:20:08Z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355719C68D35E4372AB3EA66BBE88D6F</vt:lpwstr>
  </property>
</Properties>
</file>